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357" w:rsidRPr="00E55543" w:rsidRDefault="00FC1677" w:rsidP="007273C5">
      <w:pPr>
        <w:jc w:val="center"/>
        <w:rPr>
          <w:rFonts w:ascii="Arial" w:hAnsi="Arial" w:cs="Arial"/>
          <w:b/>
          <w:noProof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423715</wp:posOffset>
            </wp:positionH>
            <wp:positionV relativeFrom="paragraph">
              <wp:posOffset>11837</wp:posOffset>
            </wp:positionV>
            <wp:extent cx="419100" cy="504825"/>
            <wp:effectExtent l="0" t="0" r="0" b="9525"/>
            <wp:wrapTight wrapText="bothSides">
              <wp:wrapPolygon edited="0">
                <wp:start x="0" y="0"/>
                <wp:lineTo x="0" y="21192"/>
                <wp:lineTo x="20618" y="21192"/>
                <wp:lineTo x="20618" y="0"/>
                <wp:lineTo x="0" y="0"/>
              </wp:wrapPolygon>
            </wp:wrapTight>
            <wp:docPr id="118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E55543" w:rsidRPr="00E55543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5120005</wp:posOffset>
            </wp:positionH>
            <wp:positionV relativeFrom="paragraph">
              <wp:posOffset>9525</wp:posOffset>
            </wp:positionV>
            <wp:extent cx="533400" cy="323850"/>
            <wp:effectExtent l="0" t="0" r="0" b="0"/>
            <wp:wrapTight wrapText="bothSides">
              <wp:wrapPolygon edited="0">
                <wp:start x="0" y="0"/>
                <wp:lineTo x="0" y="20329"/>
                <wp:lineTo x="20829" y="20329"/>
                <wp:lineTo x="20829" y="0"/>
                <wp:lineTo x="0" y="0"/>
              </wp:wrapPolygon>
            </wp:wrapTight>
            <wp:docPr id="1029" name="Picture 1" descr="LOGO IP TRUST menš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1" descr="LOGO IP TRUST menší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7273C5" w:rsidRPr="00E55543">
        <w:rPr>
          <w:rFonts w:ascii="Arial" w:hAnsi="Arial" w:cs="Arial"/>
          <w:b/>
        </w:rPr>
        <w:t>Smluvní ujednání k TABULCE I –</w:t>
      </w:r>
      <w:r>
        <w:rPr>
          <w:rFonts w:ascii="Arial" w:hAnsi="Arial" w:cs="Arial"/>
          <w:b/>
        </w:rPr>
        <w:t xml:space="preserve"> </w:t>
      </w:r>
      <w:proofErr w:type="spellStart"/>
      <w:r w:rsidR="0043604A">
        <w:rPr>
          <w:rFonts w:ascii="Arial" w:hAnsi="Arial" w:cs="Arial"/>
          <w:b/>
        </w:rPr>
        <w:t>SPORTaS</w:t>
      </w:r>
      <w:proofErr w:type="spellEnd"/>
    </w:p>
    <w:p w:rsidR="00E55543" w:rsidRPr="00E55543" w:rsidRDefault="00E55543" w:rsidP="007273C5">
      <w:pPr>
        <w:jc w:val="center"/>
        <w:rPr>
          <w:rFonts w:ascii="Arial" w:hAnsi="Arial" w:cs="Arial"/>
          <w:noProof/>
          <w:sz w:val="20"/>
          <w:szCs w:val="20"/>
          <w:lang w:eastAsia="cs-CZ"/>
        </w:rPr>
      </w:pPr>
    </w:p>
    <w:p w:rsidR="00E55543" w:rsidRPr="00E55543" w:rsidRDefault="00E55543" w:rsidP="007273C5">
      <w:pPr>
        <w:jc w:val="center"/>
        <w:rPr>
          <w:rFonts w:ascii="Arial" w:hAnsi="Arial" w:cs="Arial"/>
          <w:noProof/>
          <w:sz w:val="20"/>
          <w:szCs w:val="20"/>
          <w:lang w:eastAsia="cs-CZ"/>
        </w:rPr>
      </w:pP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Pokud je pojištění sjednáno na novou cenu, pak se pro účely této pojistné smlouvy se ujednává, že ke dni sjednání pojištění odpovídají pojistné částky pojištěných věcí pojistné hodnotě a pojistitel akceptuje pojistné částky jako hodnotu nové věci ve smyslu pojistných podmínek.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Ujednává se, že veškerý nový majetek, který pojištěný nabude v průběhu pojistného období, je automaticky zahrnut do pojištění. Zvýší-li se tím pojistná částka o méně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>%, nebude pojistitel požadovat doplatek pojistného. Pojištěný je povinen oznámit navýšení pojistných částek, pokud dojde ke zvýšení hodnoty pojištěných věcí v průběhu pojistného období o více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 xml:space="preserve"> %. Pojistitel se zavazuje účtovat dodatečné pojistné vypočtené pojistnou sazbou použitou pro výpočet pojistného uvedeného v pojistné smlouvě.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Inflační doložka: Pojišťovna nebude namítat podpojištění, dojde-li v průběhu pojistného období k navýšení pojistných hodnot v důsledku inflace menší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 xml:space="preserve"> %.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Pokud je předmět pojištění pojištěn na novou cenu, pak v případě poškození nebo zničení pojištěných věcí vyplatí pojistitel náklad na znovupořízení věci v době pojistné události sníženou o cenu případných zbytků bez odpočtu opotřebení.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V případě cizích věcí užívaných pojištěným se ujednává, že v případě pojistné události pojistitel poskytne plnění v nové ceně.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Ujednává se, že pojištění pro případ poškození nebo zničení pojištěné věci nárazem dopravního prostředku nebo jeho nákladu, pádem stromů, stožárů nebo jiných předmětů se vztahuje i na součásti poškozené věci nebo součásti téhož souboru jako poškozená věc.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Ujednává se, že škody způsobené riziky „záplava, povodeň“ a nastalé z jedné příčiny během 72 hodin se hodnotí jako jedna pojistná událost a z tohoto titulu se odečítá pouze jedna spoluúčast, pro riziko „vichřice a krupobití“ platí časová lhůta 48 hodin.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„záplava, povodeň“ resp. „vodovodních škod“ se vztahuje i na škody způsobené zpětným vystoupením vody z  kanalizačního potrubí.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Pro pojištění vodovodních škod se ujednává také krytí škod z vodovodních či kanalizačních potrubí a zařízeních připojených na potrubí (včetně nákladu na odstranění závady a škod na těchto zařízeních) způsobených přetlakem páry nebo kapaliny nebo zamrznutím vody ve vodovodním či kanalizačním potrubí a zařízeních připojených na potrubí.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Pojištění vodovodních škod se vztahuje i na škody způsobené vodou vytékající z klimatizačních zařízení, </w:t>
      </w:r>
      <w:proofErr w:type="spellStart"/>
      <w:r w:rsidRPr="00E55543">
        <w:rPr>
          <w:rFonts w:ascii="Arial" w:hAnsi="Arial" w:cs="Arial"/>
          <w:sz w:val="20"/>
          <w:szCs w:val="20"/>
        </w:rPr>
        <w:t>sprinklerových</w:t>
      </w:r>
      <w:proofErr w:type="spellEnd"/>
      <w:r w:rsidRPr="00E55543">
        <w:rPr>
          <w:rFonts w:ascii="Arial" w:hAnsi="Arial" w:cs="Arial"/>
          <w:sz w:val="20"/>
          <w:szCs w:val="20"/>
        </w:rPr>
        <w:t xml:space="preserve"> a samočinných hasicích zařízení v důsledku poruchy tohoto zařízení.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zahrnuje i krytí nákladů na hašení, demolici, odvoz suti, likvidaci zbytků a následků pojistné události včetně dočasného přemístění majetku. Toto pojištění se sjednává na první riziko s limitem plnění:</w:t>
      </w:r>
      <w:r w:rsidR="00267BA8">
        <w:rPr>
          <w:rFonts w:ascii="Arial" w:hAnsi="Arial" w:cs="Arial"/>
          <w:sz w:val="20"/>
          <w:szCs w:val="20"/>
        </w:rPr>
        <w:t>1 000 000</w:t>
      </w:r>
      <w:r w:rsidRPr="00E55543">
        <w:rPr>
          <w:rFonts w:ascii="Arial" w:hAnsi="Arial" w:cs="Arial"/>
          <w:sz w:val="20"/>
          <w:szCs w:val="20"/>
        </w:rPr>
        <w:t xml:space="preserve"> Kč, spoluúčast: 1 000 Kč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Úderem blesku se rozumí také škoda vzniklá úderem blesku bez viditelných destrukčních účinků na věci nebo na budově. Úderem blesku je také zkrat nebo přepětí v elektrorozvodné nebo komunikační síti, k němuž došlo v důsledku působení blesku na tato vedení.</w:t>
      </w:r>
    </w:p>
    <w:p w:rsid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kryje také zachraňovací náklady až do výše 10% pojistné částky pojištěné věci. Toto omezení neplatí na při záchraně života a zdraví osob.</w:t>
      </w:r>
    </w:p>
    <w:p w:rsidR="004B731B" w:rsidRDefault="004B731B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Pojištění se vztahuje na všechny skleněné </w:t>
      </w:r>
      <w:r w:rsidR="0043604A">
        <w:rPr>
          <w:rFonts w:ascii="Arial" w:hAnsi="Arial" w:cs="Arial"/>
          <w:sz w:val="20"/>
          <w:szCs w:val="20"/>
        </w:rPr>
        <w:t xml:space="preserve">stavební </w:t>
      </w:r>
      <w:r>
        <w:rPr>
          <w:rFonts w:ascii="Arial" w:hAnsi="Arial" w:cs="Arial"/>
          <w:sz w:val="20"/>
          <w:szCs w:val="20"/>
        </w:rPr>
        <w:t>součásti bez ohledu na tloušťku skla</w:t>
      </w:r>
    </w:p>
    <w:p w:rsidR="004B731B" w:rsidRDefault="004B731B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Budovy jsou pojištěny vč. přípojek, rozvodů, čidel, kamer a ústředen EPS a EZS a včetně antén a jejich rozvodů.</w:t>
      </w:r>
    </w:p>
    <w:p w:rsidR="0043604A" w:rsidRDefault="0043604A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cizí věci se považují i věci návštěvníků a klientů.</w:t>
      </w:r>
    </w:p>
    <w:p w:rsidR="00131EC1" w:rsidRDefault="00131EC1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Pojištění se vztahuje i na </w:t>
      </w:r>
      <w:r w:rsidR="00A87842">
        <w:rPr>
          <w:rFonts w:ascii="Arial" w:hAnsi="Arial" w:cs="Arial"/>
          <w:sz w:val="20"/>
          <w:szCs w:val="20"/>
        </w:rPr>
        <w:t>movitý majetek na volném prostranství</w:t>
      </w:r>
    </w:p>
    <w:p w:rsidR="00C63AA8" w:rsidRPr="00C63AA8" w:rsidRDefault="00C63AA8" w:rsidP="00C63AA8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C63AA8">
        <w:rPr>
          <w:rFonts w:ascii="Arial" w:hAnsi="Arial" w:cs="Arial"/>
          <w:sz w:val="20"/>
          <w:szCs w:val="20"/>
        </w:rPr>
        <w:t xml:space="preserve">Ujednává se individuální způsob zabezpečení </w:t>
      </w:r>
      <w:r w:rsidR="00A87842">
        <w:rPr>
          <w:rFonts w:ascii="Arial" w:hAnsi="Arial" w:cs="Arial"/>
          <w:sz w:val="20"/>
          <w:szCs w:val="20"/>
        </w:rPr>
        <w:t xml:space="preserve">movitého </w:t>
      </w:r>
      <w:r w:rsidRPr="00C63AA8">
        <w:rPr>
          <w:rFonts w:ascii="Arial" w:hAnsi="Arial" w:cs="Arial"/>
          <w:sz w:val="20"/>
          <w:szCs w:val="20"/>
        </w:rPr>
        <w:t> majetku na volném prostranství:</w:t>
      </w:r>
    </w:p>
    <w:p w:rsidR="00C63AA8" w:rsidRPr="00C63AA8" w:rsidRDefault="00C63AA8" w:rsidP="00C63AA8">
      <w:pPr>
        <w:pStyle w:val="Odstavecseseznamem"/>
        <w:rPr>
          <w:rFonts w:ascii="Arial" w:hAnsi="Arial" w:cs="Arial"/>
          <w:sz w:val="20"/>
          <w:szCs w:val="20"/>
        </w:rPr>
      </w:pPr>
      <w:r w:rsidRPr="00C63AA8">
        <w:rPr>
          <w:rFonts w:ascii="Arial" w:hAnsi="Arial" w:cs="Arial"/>
          <w:sz w:val="20"/>
          <w:szCs w:val="20"/>
        </w:rPr>
        <w:t>Jednotlivé předměty o hmotnosti nižší než 100 kg musejí být uvázány mezi sebou, tak aby s nimi nešlo jednotlivě manipulovat,  nebo k jinému nepřemístitelnému předmětu ocelovým řetězem o minimální tloušťce oka 4 mm nebo ocelovým lankem o min. tloušťce 5 mm. Uzamykatelná oka lanka musí být spojena nerozebíratelným způsobem. Řetěz nebo lanko musí být uzamčeno visacím zámkem s průměrem třmene min. 5 mm.</w:t>
      </w:r>
      <w:bookmarkStart w:id="0" w:name="_GoBack"/>
      <w:bookmarkEnd w:id="0"/>
    </w:p>
    <w:sectPr w:rsidR="00C63AA8" w:rsidRPr="00C63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A49D7"/>
    <w:multiLevelType w:val="hybridMultilevel"/>
    <w:tmpl w:val="519C62DA"/>
    <w:lvl w:ilvl="0" w:tplc="6580416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7F56A3"/>
    <w:multiLevelType w:val="hybridMultilevel"/>
    <w:tmpl w:val="07FA6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D614B"/>
    <w:multiLevelType w:val="hybridMultilevel"/>
    <w:tmpl w:val="4412C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97448"/>
    <w:multiLevelType w:val="hybridMultilevel"/>
    <w:tmpl w:val="4FB07B6E"/>
    <w:lvl w:ilvl="0" w:tplc="6EE017B8">
      <w:start w:val="3"/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3EE4DCF"/>
    <w:multiLevelType w:val="hybridMultilevel"/>
    <w:tmpl w:val="7180B4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C5"/>
    <w:rsid w:val="000C0566"/>
    <w:rsid w:val="00131EC1"/>
    <w:rsid w:val="001F5E41"/>
    <w:rsid w:val="00267BA8"/>
    <w:rsid w:val="00283D2F"/>
    <w:rsid w:val="002A2A02"/>
    <w:rsid w:val="0043604A"/>
    <w:rsid w:val="004A7532"/>
    <w:rsid w:val="004B731B"/>
    <w:rsid w:val="007273C5"/>
    <w:rsid w:val="007B3355"/>
    <w:rsid w:val="008776E7"/>
    <w:rsid w:val="008C2DF7"/>
    <w:rsid w:val="00A87842"/>
    <w:rsid w:val="00B4471B"/>
    <w:rsid w:val="00BF5357"/>
    <w:rsid w:val="00C63AA8"/>
    <w:rsid w:val="00E55543"/>
    <w:rsid w:val="00EA03C8"/>
    <w:rsid w:val="00F842BD"/>
    <w:rsid w:val="00FC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62047-D90C-4A78-8AE3-135D82DC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554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B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Pražáková</dc:creator>
  <cp:keywords/>
  <dc:description/>
  <cp:lastModifiedBy>Pražáková Jana</cp:lastModifiedBy>
  <cp:revision>4</cp:revision>
  <cp:lastPrinted>2019-02-12T13:27:00Z</cp:lastPrinted>
  <dcterms:created xsi:type="dcterms:W3CDTF">2019-04-05T12:21:00Z</dcterms:created>
  <dcterms:modified xsi:type="dcterms:W3CDTF">2019-04-05T12:50:00Z</dcterms:modified>
</cp:coreProperties>
</file>